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7EAB" w:rsidRPr="00EB7EAB" w:rsidRDefault="00EB7EAB" w:rsidP="00EB7EAB">
      <w:pPr>
        <w:spacing w:after="0" w:line="594" w:lineRule="atLeast"/>
        <w:outlineLvl w:val="1"/>
        <w:rPr>
          <w:rFonts w:ascii="Arial" w:eastAsia="Times New Roman" w:hAnsi="Arial" w:cs="Arial"/>
          <w:color w:val="000000"/>
          <w:sz w:val="54"/>
          <w:szCs w:val="54"/>
          <w:lang w:eastAsia="pt-BR"/>
        </w:rPr>
      </w:pPr>
      <w:r w:rsidRPr="00EB7EAB">
        <w:rPr>
          <w:rFonts w:ascii="Arial" w:eastAsia="Times New Roman" w:hAnsi="Arial" w:cs="Arial"/>
          <w:color w:val="000000"/>
          <w:sz w:val="54"/>
          <w:szCs w:val="54"/>
          <w:lang w:eastAsia="pt-BR"/>
        </w:rPr>
        <w:t>Ministério autoriza uso de 15 espécies aquáticas por um ano</w:t>
      </w:r>
    </w:p>
    <w:p w:rsidR="00EB7EAB" w:rsidRPr="00EB7EAB" w:rsidRDefault="00EB7EAB" w:rsidP="00EB7EAB">
      <w:pPr>
        <w:numPr>
          <w:ilvl w:val="0"/>
          <w:numId w:val="1"/>
        </w:numPr>
        <w:shd w:val="clear" w:color="auto" w:fill="F7FAFE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</w:pPr>
      <w:hyperlink r:id="rId6" w:history="1">
        <w:r w:rsidRPr="00EB7EAB">
          <w:rPr>
            <w:rFonts w:ascii="Times New Roman" w:eastAsia="Times New Roman" w:hAnsi="Times New Roman" w:cs="Times New Roman"/>
            <w:color w:val="0000FF"/>
            <w:sz w:val="18"/>
            <w:szCs w:val="18"/>
            <w:u w:val="single"/>
            <w:lang w:eastAsia="pt-BR"/>
          </w:rPr>
          <w:t>Imprimir </w:t>
        </w:r>
      </w:hyperlink>
    </w:p>
    <w:p w:rsidR="00EB7EAB" w:rsidRPr="00EB7EAB" w:rsidRDefault="00EB7EAB" w:rsidP="00EB7EAB">
      <w:pPr>
        <w:numPr>
          <w:ilvl w:val="0"/>
          <w:numId w:val="1"/>
        </w:numPr>
        <w:pBdr>
          <w:left w:val="single" w:sz="6" w:space="6" w:color="CCCCCC"/>
        </w:pBdr>
        <w:shd w:val="clear" w:color="auto" w:fill="F7FAFE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</w:pPr>
      <w:hyperlink r:id="rId7" w:history="1">
        <w:r w:rsidRPr="00EB7EAB">
          <w:rPr>
            <w:rFonts w:ascii="Times New Roman" w:eastAsia="Times New Roman" w:hAnsi="Times New Roman" w:cs="Times New Roman"/>
            <w:color w:val="0000FF"/>
            <w:sz w:val="18"/>
            <w:szCs w:val="18"/>
            <w:u w:val="single"/>
            <w:lang w:eastAsia="pt-BR"/>
          </w:rPr>
          <w:t>E-mail </w:t>
        </w:r>
      </w:hyperlink>
    </w:p>
    <w:p w:rsidR="00EB7EAB" w:rsidRPr="00EB7EAB" w:rsidRDefault="00EB7EAB" w:rsidP="00EB7EAB">
      <w:pPr>
        <w:numPr>
          <w:ilvl w:val="0"/>
          <w:numId w:val="1"/>
        </w:numPr>
        <w:pBdr>
          <w:left w:val="single" w:sz="6" w:space="6" w:color="CCCCCC"/>
        </w:pBdr>
        <w:shd w:val="clear" w:color="auto" w:fill="F7FAFE"/>
        <w:spacing w:after="0" w:line="240" w:lineRule="auto"/>
        <w:ind w:left="0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  <w:lang w:eastAsia="pt-BR"/>
        </w:rPr>
      </w:pPr>
      <w:r w:rsidRPr="00EB7EAB">
        <w:rPr>
          <w:rFonts w:ascii="Times New Roman" w:eastAsia="Times New Roman" w:hAnsi="Times New Roman" w:cs="Times New Roman"/>
          <w:noProof/>
          <w:color w:val="0000FF"/>
          <w:sz w:val="18"/>
          <w:szCs w:val="18"/>
          <w:lang w:eastAsia="pt-BR"/>
        </w:rPr>
        <w:drawing>
          <wp:inline distT="0" distB="0" distL="0" distR="0" wp14:anchorId="56A91DD0" wp14:editId="30E98ACE">
            <wp:extent cx="238760" cy="238760"/>
            <wp:effectExtent l="0" t="0" r="8890" b="0"/>
            <wp:docPr id="1" name="Imagem 1" descr="http://www.mma.gov.br/templates/portal/html/mod_ytc_k2slideshow/inc/img/imagem.png">
              <a:hlinkClick xmlns:a="http://schemas.openxmlformats.org/drawingml/2006/main" r:id="rId8" tooltip="&quot;Biodiversidade...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ma.gov.br/templates/portal/html/mod_ytc_k2slideshow/inc/img/imagem.png">
                      <a:hlinkClick r:id="rId8" tooltip="&quot;Biodiversidade...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760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3180" w:type="dxa"/>
        <w:tblCellSpacing w:w="0" w:type="dxa"/>
        <w:tblInd w:w="-22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0"/>
      </w:tblGrid>
      <w:tr w:rsidR="00EB7EAB" w:rsidRPr="00EB7EAB" w:rsidTr="00EB7EAB">
        <w:trPr>
          <w:tblCellSpacing w:w="0" w:type="dxa"/>
        </w:trPr>
        <w:tc>
          <w:tcPr>
            <w:tcW w:w="0" w:type="auto"/>
            <w:vAlign w:val="center"/>
            <w:hideMark/>
          </w:tcPr>
          <w:p w:rsidR="00EB7EAB" w:rsidRPr="00EB7EAB" w:rsidRDefault="00EB7EAB" w:rsidP="00EB7EAB">
            <w:pPr>
              <w:shd w:val="clear" w:color="auto" w:fill="CCCCCC"/>
              <w:spacing w:after="0" w:line="240" w:lineRule="auto"/>
              <w:divId w:val="1816725657"/>
              <w:rPr>
                <w:rFonts w:ascii="Times New Roman" w:eastAsia="Times New Roman" w:hAnsi="Times New Roman" w:cs="Times New Roman"/>
                <w:sz w:val="12"/>
                <w:szCs w:val="12"/>
                <w:lang w:eastAsia="pt-BR"/>
              </w:rPr>
            </w:pPr>
            <w:r w:rsidRPr="00EB7EAB">
              <w:rPr>
                <w:rFonts w:ascii="Times New Roman" w:eastAsia="Times New Roman" w:hAnsi="Times New Roman" w:cs="Times New Roman"/>
                <w:sz w:val="12"/>
                <w:szCs w:val="12"/>
                <w:lang w:eastAsia="pt-BR"/>
              </w:rPr>
              <w:t>Portal EBC</w:t>
            </w:r>
          </w:p>
        </w:tc>
      </w:tr>
      <w:tr w:rsidR="00EB7EAB" w:rsidRPr="00EB7EAB" w:rsidTr="00EB7EAB">
        <w:trPr>
          <w:tblCellSpacing w:w="0" w:type="dxa"/>
        </w:trPr>
        <w:tc>
          <w:tcPr>
            <w:tcW w:w="0" w:type="auto"/>
            <w:vAlign w:val="center"/>
            <w:hideMark/>
          </w:tcPr>
          <w:p w:rsidR="00EB7EAB" w:rsidRPr="00EB7EAB" w:rsidRDefault="00EB7EAB" w:rsidP="00EB7E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EB7EAB">
              <w:rPr>
                <w:rFonts w:ascii="Times New Roman" w:eastAsia="Times New Roman" w:hAnsi="Times New Roman" w:cs="Times New Roman"/>
                <w:noProof/>
                <w:color w:val="0000FF"/>
                <w:sz w:val="24"/>
                <w:szCs w:val="24"/>
                <w:lang w:eastAsia="pt-BR"/>
              </w:rPr>
              <w:drawing>
                <wp:inline distT="0" distB="0" distL="0" distR="0" wp14:anchorId="7184A013" wp14:editId="07FDE2DB">
                  <wp:extent cx="1900555" cy="1399540"/>
                  <wp:effectExtent l="0" t="0" r="4445" b="0"/>
                  <wp:docPr id="2" name="Imagem 2" descr="http://simat.mma.gov.br/acomweb/Media/Fotos/AC_2292.jpg">
                    <a:hlinkClick xmlns:a="http://schemas.openxmlformats.org/drawingml/2006/main" r:id="rId8" tooltip="&quot;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simat.mma.gov.br/acomweb/Media/Fotos/AC_2292.jpg">
                            <a:hlinkClick r:id="rId8" tooltip="&quot;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0555" cy="1399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7EAB" w:rsidRPr="00EB7EAB" w:rsidTr="00EB7EAB">
        <w:trPr>
          <w:tblCellSpacing w:w="0" w:type="dxa"/>
        </w:trPr>
        <w:tc>
          <w:tcPr>
            <w:tcW w:w="0" w:type="auto"/>
            <w:vAlign w:val="center"/>
            <w:hideMark/>
          </w:tcPr>
          <w:p w:rsidR="00EB7EAB" w:rsidRPr="00EB7EAB" w:rsidRDefault="00EB7EAB" w:rsidP="00EB7EAB">
            <w:pPr>
              <w:shd w:val="clear" w:color="auto" w:fill="CCCCCC"/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  <w:lang w:eastAsia="pt-BR"/>
              </w:rPr>
            </w:pPr>
            <w:r w:rsidRPr="00EB7EAB">
              <w:rPr>
                <w:rFonts w:ascii="Times New Roman" w:eastAsia="Times New Roman" w:hAnsi="Times New Roman" w:cs="Times New Roman"/>
                <w:sz w:val="15"/>
                <w:szCs w:val="15"/>
                <w:lang w:eastAsia="pt-BR"/>
              </w:rPr>
              <w:t>Guaiamum: manejo sustentável</w:t>
            </w:r>
          </w:p>
        </w:tc>
      </w:tr>
    </w:tbl>
    <w:p w:rsidR="00EB7EAB" w:rsidRPr="00EB7EAB" w:rsidRDefault="00EB7EAB" w:rsidP="00EB7E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b/>
          <w:bCs/>
          <w:i/>
          <w:iCs/>
          <w:color w:val="000000"/>
          <w:sz w:val="27"/>
          <w:szCs w:val="27"/>
          <w:lang w:eastAsia="pt-BR"/>
        </w:rPr>
        <w:t>Portaria publicada nesta segunda-feira dá mais um ano para que sejam estabelecidas, de forma estruturada, as medidas de ordenamento pesqueiro.</w:t>
      </w:r>
    </w:p>
    <w:p w:rsidR="00EB7EAB" w:rsidRPr="00EB7EAB" w:rsidRDefault="00EB7EAB" w:rsidP="00EB7E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RENATA MELIGA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hyperlink r:id="rId11" w:history="1">
        <w:r w:rsidRPr="00EB7EAB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pt-BR"/>
          </w:rPr>
          <w:t>Portaria 161/2017</w:t>
        </w:r>
      </w:hyperlink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do Ministério do Meio Ambiente (MMA), publicada nesta segunda-feira (24/04) no Diário Oficial da União (DOU), estabelece nova data para proibição da pesca, captura, transporte, armazenamento e comercialização de 15 espécies de peixes e invertebrados aquáticos. De acordo com o documento, as restrições, que estão previstas na Portaria 445/2014, conhecida também como Lista Vermelha dos Peixes e Invertebrados Ameaçados de Extinção Brasileiros, entrarão em vigor no dia 30 de abril de 2018. 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O diretor do Departamento de Conservação e Manejo de Espécies do MMA, Ugo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Vercillo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, esclarece que a Portaria 445 está vigente e que ela é extremamente importante para a preservação das espécies. “Considerando que algumas espécies, que estão na portaria 445, foram identificadas como sendo passíveis de uso, e que a orientação para sua a conservação remete ao uso sustentável, o ministério resolveu, então, publicar essa nova portaria que dá mais um ano para que sejam estabelecidas, de forma estruturada, as medidas para o manejo sustentável”, explicou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Vercillo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.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PORTARIA 445/2014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A Portaria </w:t>
      </w:r>
      <w:hyperlink r:id="rId12" w:history="1">
        <w:r w:rsidRPr="00EB7EAB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pt-BR"/>
          </w:rPr>
          <w:t>445/2014</w:t>
        </w:r>
      </w:hyperlink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protege 475 espécies, classificadas nas categorias ‘extintas na natureza’, ‘criticamente em perigo’, ‘em perigo’ e ‘vulnerável’. Análise junto a especialistas apontou indícios de que a pesca sustentável de 14 espécies poderia ser compatibilizada com a recuperação das populações. Com isso, em setembro do ano passado, o MMA publicou outra portaria, a </w:t>
      </w:r>
      <w:hyperlink r:id="rId13" w:history="1">
        <w:r w:rsidRPr="00EB7EAB">
          <w:rPr>
            <w:rFonts w:ascii="Times New Roman" w:eastAsia="Times New Roman" w:hAnsi="Times New Roman" w:cs="Times New Roman"/>
            <w:color w:val="0000FF"/>
            <w:sz w:val="27"/>
            <w:szCs w:val="27"/>
            <w:u w:val="single"/>
            <w:lang w:eastAsia="pt-BR"/>
          </w:rPr>
          <w:t>395/2016</w:t>
        </w:r>
      </w:hyperlink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, que prorrogou os efeitos da lista até 1º de março de 2017 para essas espécies.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ATUALIZAÇÃO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lastRenderedPageBreak/>
        <w:t xml:space="preserve">Além de prorrogar até abril de 2018 o uso, a Portaria 161/2017 acrescenta mais uma espécie à lista: o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budião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azul. Segundo Ugo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Vercillo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, o plano de recuperação aponta para o uso dessa espécie, além de </w:t>
      </w:r>
      <w:proofErr w:type="gram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outras como o guaiamum, bagres</w:t>
      </w:r>
      <w:proofErr w:type="gram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marinhos e alguns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budiões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(peixes-papagaio).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t-BR"/>
        </w:rPr>
        <w:t>Confira a lista completa: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Cardisoma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guanhumi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(guaiamum);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Lutjanus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purpureus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(pargo);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III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Sciades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parkeri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(gurijuba);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IV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Genidens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barbus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(bagre-branco);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V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Scarus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zelindae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(peixe-papagaio-banana);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VI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Sparisoma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axillare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(peixe-papagaio-cinza);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VII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Sparisoma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frondosum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(peixe-papagaio-cinza);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VIII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Scarus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trispinosus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budião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-azul);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IX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Leporacanthicus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joselimai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(acari, cascudo, onça);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Parancistrus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nudiventris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(acari, cascudo, bola azul);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Scobinancistrus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aureatus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(acari-da-pedra);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Scobinancistrus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pariolispos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(acari-da-pedra);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XIII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Peckoltia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compta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(acari, cascudo, picota ouro);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XIV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Peckoltia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snethlageae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(acari, cascudo, aba branca);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XV -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Teleocichla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</w:t>
      </w:r>
      <w:proofErr w:type="spellStart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prionogenys</w:t>
      </w:r>
      <w:proofErr w:type="spellEnd"/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 xml:space="preserve"> (joaninha-da-pedra).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  <w:t> </w:t>
      </w:r>
    </w:p>
    <w:p w:rsidR="00EB7EAB" w:rsidRPr="00EB7EAB" w:rsidRDefault="00EB7EAB" w:rsidP="00EB7E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  <w:r w:rsidRPr="00EB7EA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Assessoria de Comunicação Social (</w:t>
      </w:r>
      <w:proofErr w:type="spellStart"/>
      <w:r w:rsidRPr="00EB7EA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Ascom</w:t>
      </w:r>
      <w:proofErr w:type="spellEnd"/>
      <w:r w:rsidRPr="00EB7EAB">
        <w:rPr>
          <w:rFonts w:ascii="Times New Roman" w:eastAsia="Times New Roman" w:hAnsi="Times New Roman" w:cs="Times New Roman"/>
          <w:i/>
          <w:iCs/>
          <w:color w:val="000000"/>
          <w:sz w:val="27"/>
          <w:szCs w:val="27"/>
          <w:lang w:eastAsia="pt-BR"/>
        </w:rPr>
        <w:t>/MMA): 2028-1227</w:t>
      </w:r>
    </w:p>
    <w:p w:rsidR="00EB7EAB" w:rsidRPr="00EB7EAB" w:rsidRDefault="00EB7EAB" w:rsidP="00EB7E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:rsidR="00EB7EAB" w:rsidRPr="00EB7EAB" w:rsidRDefault="00EB7EAB" w:rsidP="00EB7E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pt-BR"/>
        </w:rPr>
      </w:pPr>
    </w:p>
    <w:p w:rsidR="001248F8" w:rsidRDefault="001248F8">
      <w:bookmarkStart w:id="0" w:name="_GoBack"/>
      <w:bookmarkEnd w:id="0"/>
    </w:p>
    <w:sectPr w:rsidR="001248F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A4118E"/>
    <w:multiLevelType w:val="multilevel"/>
    <w:tmpl w:val="70305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EAB"/>
    <w:rsid w:val="001248F8"/>
    <w:rsid w:val="001469CD"/>
    <w:rsid w:val="005A08CB"/>
    <w:rsid w:val="00EB7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B7E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E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B7E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E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113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65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0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505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0987942">
          <w:marLeft w:val="0"/>
          <w:marRight w:val="0"/>
          <w:marTop w:val="240"/>
          <w:marBottom w:val="0"/>
          <w:divBdr>
            <w:top w:val="dotted" w:sz="6" w:space="2" w:color="CCCCCC"/>
            <w:left w:val="none" w:sz="0" w:space="0" w:color="auto"/>
            <w:bottom w:val="dotted" w:sz="6" w:space="2" w:color="CCCCCC"/>
            <w:right w:val="none" w:sz="0" w:space="0" w:color="auto"/>
          </w:divBdr>
        </w:div>
        <w:div w:id="140694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57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70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725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66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56921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934792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ma.gov.br/templates/portal/html/mod_ytc_k2slideshow/inc/img-mostra.php?url=http://simat.mma.gov.br/acomweb/Media/Fotos/AC_2292.jpg&amp;id=2292&amp;tipo=2&amp;legenda=Guaiamum:%20manejo%20sustent%C3%A1vel&amp;KeepThis=true&amp;TB_iframe=true&amp;height=525&amp;width=680" TargetMode="External"/><Relationship Id="rId13" Type="http://schemas.openxmlformats.org/officeDocument/2006/relationships/hyperlink" Target="http://pesquisa.in.gov.br/imprensa/jsp/visualiza/index.jsp?jornal=1&amp;pagina=46&amp;data=02/09/2016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ma.gov.br/component/mailto/?tmpl=component&amp;link=http://www.mma.gov.br/index.php/comunicacao/agencia-informma?view=blog&amp;id=2292&amp;tmpl=component&amp;print=1" TargetMode="External"/><Relationship Id="rId12" Type="http://schemas.openxmlformats.org/officeDocument/2006/relationships/hyperlink" Target="http://pesquisa.in.gov.br/imprensa/jsp/visualiza/index.jsp?jornal=1&amp;pagina=126&amp;data=18/12/201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ma.gov.br/index.php/comunicacao/agencia-informma?view=blog&amp;id=2292&amp;tmpl=component&amp;print=1&amp;tmpl=component&amp;print=1" TargetMode="External"/><Relationship Id="rId11" Type="http://schemas.openxmlformats.org/officeDocument/2006/relationships/hyperlink" Target="http://pesquisa.in.gov.br/imprensa/jsp/visualiza/index.jsp?jornal=1&amp;pagina=79&amp;data=24/04/2017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559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Winckler</dc:creator>
  <cp:lastModifiedBy>Sergio Winckler</cp:lastModifiedBy>
  <cp:revision>1</cp:revision>
  <dcterms:created xsi:type="dcterms:W3CDTF">2017-09-25T17:43:00Z</dcterms:created>
  <dcterms:modified xsi:type="dcterms:W3CDTF">2017-09-25T17:44:00Z</dcterms:modified>
</cp:coreProperties>
</file>